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Funding and Income Generation Hyperlinks to useful Resources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ge">
              <wp:posOffset>838800</wp:posOffset>
            </wp:positionV>
            <wp:extent cx="1817370" cy="85979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031" l="0" r="0" t="2031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59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Get funding to start a charity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What charities need to consider when fundraising from the public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Internal financial controls for charities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Fundraising legally and responsibly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Charities - working with companies &amp; professional fundraisers</w:t>
              </w:r>
            </w:hyperlink>
            <w:r w:rsidDel="00000000" w:rsidR="00000000" w:rsidRPr="00000000">
              <w:fldChar w:fldCharType="begin"/>
              <w:instrText xml:space="preserve"> HYPERLINK "https://www.gov.uk/guidance/charities-working-with-companies-and-professional-fundraisers"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Charities and trading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Charities and tax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1320.9448818897638" w:top="1320.9448818897638" w:left="1320.9448818897638" w:right="1320.94488188976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v.uk/government/publications/charities-and-fundraising-cc20" TargetMode="External"/><Relationship Id="rId10" Type="http://schemas.openxmlformats.org/officeDocument/2006/relationships/hyperlink" Target="https://www.gov.uk/guidance/fundraising-legally-and-responsibly" TargetMode="External"/><Relationship Id="rId13" Type="http://schemas.openxmlformats.org/officeDocument/2006/relationships/hyperlink" Target="https://www.gov.uk/charities-and-tax" TargetMode="External"/><Relationship Id="rId12" Type="http://schemas.openxmlformats.org/officeDocument/2006/relationships/hyperlink" Target="https://www.gov.uk/guidance/charities-and-trad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internal-financial-controls-for-charities-cc8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gov.uk/guidance/get-funding-to-start-a-charity" TargetMode="External"/><Relationship Id="rId8" Type="http://schemas.openxmlformats.org/officeDocument/2006/relationships/hyperlink" Target="https://www.gov.uk/government/publications/charities-and-fundraising-cc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